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color w:val="000000"/>
          <w:sz w:val="24"/>
          <w:szCs w:val="18"/>
        </w:rPr>
      </w:pPr>
      <w:r>
        <w:rPr>
          <w:rFonts w:hint="eastAsia" w:ascii="仿宋" w:hAnsi="仿宋" w:eastAsia="仿宋" w:cs="仿宋"/>
          <w:color w:val="000000"/>
          <w:sz w:val="24"/>
          <w:szCs w:val="18"/>
        </w:rPr>
        <w:t>首屏网址：</w:t>
      </w:r>
      <w:r>
        <w:fldChar w:fldCharType="begin"/>
      </w:r>
      <w:r>
        <w:instrText xml:space="preserve"> HYPERLINK "https://www.chinadaily.com.cn/business/2024hcw/index.html" </w:instrText>
      </w:r>
      <w:r>
        <w:fldChar w:fldCharType="separate"/>
      </w:r>
      <w:r>
        <w:rPr>
          <w:rStyle w:val="4"/>
          <w:rFonts w:ascii="仿宋" w:hAnsi="仿宋" w:eastAsia="仿宋" w:cs="仿宋"/>
          <w:sz w:val="24"/>
          <w:szCs w:val="18"/>
        </w:rPr>
        <w:t>https://www.chinadaily.com.cn/business/2024hcw/index.html</w:t>
      </w:r>
      <w:r>
        <w:rPr>
          <w:rStyle w:val="4"/>
          <w:rFonts w:ascii="仿宋" w:hAnsi="仿宋" w:eastAsia="仿宋" w:cs="仿宋"/>
          <w:sz w:val="24"/>
          <w:szCs w:val="18"/>
        </w:rPr>
        <w:fldChar w:fldCharType="end"/>
      </w:r>
    </w:p>
    <w:p>
      <w:pPr>
        <w:widowControl/>
        <w:jc w:val="center"/>
        <w:rPr>
          <w:rFonts w:ascii="仿宋" w:hAnsi="仿宋" w:eastAsia="仿宋" w:cs="仿宋"/>
          <w:color w:val="000000"/>
          <w:sz w:val="24"/>
          <w:szCs w:val="18"/>
        </w:rPr>
      </w:pPr>
      <w:r>
        <w:drawing>
          <wp:inline distT="0" distB="0" distL="0" distR="0">
            <wp:extent cx="1494790" cy="1494790"/>
            <wp:effectExtent l="0" t="0" r="13970" b="13970"/>
            <wp:docPr id="4011670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167058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2002" cy="150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仿宋" w:hAnsi="仿宋" w:eastAsia="仿宋" w:cs="仿宋"/>
          <w:color w:val="000000"/>
          <w:sz w:val="24"/>
          <w:szCs w:val="18"/>
        </w:rPr>
      </w:pPr>
      <w:r>
        <w:rPr>
          <w:rFonts w:hint="eastAsia" w:ascii="仿宋" w:hAnsi="仿宋" w:eastAsia="仿宋" w:cs="仿宋"/>
          <w:color w:val="000000"/>
          <w:sz w:val="24"/>
          <w:szCs w:val="18"/>
        </w:rPr>
        <w:t>代表作一：</w:t>
      </w:r>
      <w:r>
        <w:fldChar w:fldCharType="begin"/>
      </w:r>
      <w:r>
        <w:instrText xml:space="preserve"> HYPERLINK "https://www.chinadaily.com.cn/a/202306/08/WS648145daa31033ad3f7bb27b.html" </w:instrText>
      </w:r>
      <w:r>
        <w:fldChar w:fldCharType="separate"/>
      </w:r>
      <w:r>
        <w:rPr>
          <w:rStyle w:val="4"/>
          <w:rFonts w:ascii="仿宋" w:hAnsi="仿宋" w:eastAsia="仿宋" w:cs="仿宋"/>
          <w:sz w:val="24"/>
          <w:szCs w:val="18"/>
        </w:rPr>
        <w:t>https://www.chinadaily.com.cn/a/202306/08/WS648145daa31033ad3f7bb27b.html</w:t>
      </w:r>
      <w:r>
        <w:rPr>
          <w:rStyle w:val="4"/>
          <w:rFonts w:ascii="仿宋" w:hAnsi="仿宋" w:eastAsia="仿宋" w:cs="仿宋"/>
          <w:sz w:val="24"/>
          <w:szCs w:val="18"/>
        </w:rPr>
        <w:fldChar w:fldCharType="end"/>
      </w:r>
    </w:p>
    <w:p>
      <w:pPr>
        <w:widowControl/>
        <w:jc w:val="center"/>
        <w:rPr>
          <w:rFonts w:ascii="楷体" w:hAnsi="楷体" w:eastAsia="楷体"/>
          <w:color w:val="000000"/>
          <w:sz w:val="28"/>
        </w:rPr>
      </w:pPr>
      <w:r>
        <w:drawing>
          <wp:inline distT="0" distB="0" distL="0" distR="0">
            <wp:extent cx="1540510" cy="1540510"/>
            <wp:effectExtent l="0" t="0" r="13970" b="13970"/>
            <wp:docPr id="12869881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988134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248" cy="155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color w:val="000000"/>
          <w:sz w:val="24"/>
          <w:szCs w:val="18"/>
        </w:rPr>
      </w:pPr>
      <w:r>
        <w:rPr>
          <w:rFonts w:hint="eastAsia" w:ascii="仿宋" w:hAnsi="仿宋" w:eastAsia="仿宋" w:cs="仿宋"/>
          <w:color w:val="000000"/>
          <w:sz w:val="24"/>
          <w:szCs w:val="18"/>
        </w:rPr>
        <w:t>代表作二：</w:t>
      </w:r>
    </w:p>
    <w:p>
      <w:pPr>
        <w:rPr>
          <w:rFonts w:ascii="仿宋" w:hAnsi="仿宋" w:eastAsia="仿宋" w:cs="仿宋"/>
          <w:color w:val="000000"/>
          <w:sz w:val="24"/>
          <w:szCs w:val="18"/>
        </w:rPr>
      </w:pPr>
      <w:r>
        <w:fldChar w:fldCharType="begin"/>
      </w:r>
      <w:r>
        <w:instrText xml:space="preserve"> HYPERLINK "https://www.chinadaily.com.cn/a/202310/26/WS6539bca6a31090682a5eac62.html" </w:instrText>
      </w:r>
      <w:r>
        <w:fldChar w:fldCharType="separate"/>
      </w:r>
      <w:r>
        <w:rPr>
          <w:rStyle w:val="4"/>
          <w:rFonts w:ascii="仿宋" w:hAnsi="仿宋" w:eastAsia="仿宋" w:cs="仿宋"/>
          <w:sz w:val="24"/>
          <w:szCs w:val="18"/>
        </w:rPr>
        <w:t>https://www.chinadaily.com.cn/a/202310/26/WS6539bca6a31090682a5eac62.html</w:t>
      </w:r>
      <w:r>
        <w:rPr>
          <w:rStyle w:val="4"/>
          <w:rFonts w:ascii="仿宋" w:hAnsi="仿宋" w:eastAsia="仿宋" w:cs="仿宋"/>
          <w:sz w:val="24"/>
          <w:szCs w:val="18"/>
        </w:rPr>
        <w:fldChar w:fldCharType="end"/>
      </w:r>
    </w:p>
    <w:p>
      <w:pPr>
        <w:jc w:val="center"/>
        <w:rPr>
          <w:rFonts w:ascii="仿宋" w:hAnsi="仿宋" w:eastAsia="仿宋" w:cs="仿宋"/>
          <w:color w:val="000000"/>
          <w:sz w:val="24"/>
          <w:szCs w:val="18"/>
        </w:rPr>
      </w:pPr>
      <w:r>
        <w:drawing>
          <wp:inline distT="0" distB="0" distL="0" distR="0">
            <wp:extent cx="1597025" cy="1597025"/>
            <wp:effectExtent l="0" t="0" r="3175" b="3175"/>
            <wp:docPr id="134610219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102198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6141" cy="1616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" w:hAnsi="仿宋" w:eastAsia="仿宋" w:cs="仿宋"/>
          <w:color w:val="000000"/>
          <w:sz w:val="24"/>
          <w:szCs w:val="18"/>
        </w:rPr>
      </w:pPr>
      <w:r>
        <w:rPr>
          <w:rFonts w:hint="eastAsia" w:ascii="仿宋" w:hAnsi="仿宋" w:eastAsia="仿宋" w:cs="仿宋"/>
          <w:color w:val="000000"/>
          <w:sz w:val="24"/>
          <w:szCs w:val="18"/>
        </w:rPr>
        <w:t>代表作三：</w:t>
      </w:r>
    </w:p>
    <w:p>
      <w:pPr>
        <w:rPr>
          <w:rFonts w:ascii="仿宋" w:hAnsi="仿宋" w:eastAsia="仿宋" w:cs="仿宋"/>
          <w:color w:val="0026E5" w:themeColor="hyperlink"/>
          <w:sz w:val="24"/>
          <w:szCs w:val="18"/>
          <w:u w:val="single"/>
          <w14:textFill>
            <w14:solidFill>
              <w14:schemeClr w14:val="hlink"/>
            </w14:solidFill>
          </w14:textFill>
        </w:rPr>
      </w:pPr>
      <w:r>
        <w:rPr>
          <w:rStyle w:val="4"/>
          <w:rFonts w:ascii="仿宋" w:hAnsi="仿宋" w:eastAsia="仿宋" w:cs="仿宋"/>
          <w:sz w:val="24"/>
          <w:szCs w:val="18"/>
        </w:rPr>
        <w:t>https://www.chinadaily.com.cn/a/202312/25/WS6588b33ba31040ac301a93dc.html</w:t>
      </w:r>
    </w:p>
    <w:p>
      <w:pPr>
        <w:jc w:val="center"/>
      </w:pPr>
      <w:bookmarkStart w:id="0" w:name="_GoBack"/>
      <w:bookmarkEnd w:id="0"/>
      <w:r>
        <w:rPr>
          <w:rFonts w:ascii="仿宋" w:hAnsi="仿宋" w:eastAsia="仿宋" w:cs="仿宋"/>
          <w:color w:val="000000"/>
          <w:sz w:val="24"/>
          <w:szCs w:val="18"/>
        </w:rPr>
        <w:drawing>
          <wp:inline distT="0" distB="0" distL="0" distR="0">
            <wp:extent cx="1718945" cy="1718945"/>
            <wp:effectExtent l="0" t="0" r="3175" b="3175"/>
            <wp:docPr id="1" name="图片 1" descr="C:\Users\zhaott\Desktop\httpswww.chinadaily.com.cna20231225WS6588b33ba31040ac301a93dc.ht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ott\Desktop\httpswww.chinadaily.com.cna20231225WS6588b33ba31040ac301a93dc.htm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9450" cy="17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NzQ2NDg4ZjE5ODIxYzRjZTM0NTAwMzhjMTU1YTgifQ=="/>
  </w:docVars>
  <w:rsids>
    <w:rsidRoot w:val="00000000"/>
    <w:rsid w:val="457A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2024-05-25T05:03:07Z</dcterms:created>
  <dc:creator>Administrator</dc:creator>
  <cp:lastModifiedBy>尹博</cp:lastModifiedBy>
  <dcterms:modified xsi:type="dcterms:W3CDTF">2024-05-25T05:03:55Z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217144D5D1E14CC989F9430294F2A9D1_12</vt:lpwstr>
  </property>
</Properties>
</file>