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07" w:tblpY="528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jc w:val="both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用好评论的“金话筒”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新闻论文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李学云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郭潇颖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新闻战线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2020·04（上）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名称和版次)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作品字数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w w:val="95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w w:val="95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w w:val="95"/>
                <w:sz w:val="28"/>
                <w:szCs w:val="28"/>
              </w:rPr>
              <w:t>3字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8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1" w:line="0" w:lineRule="atLeast"/>
              <w:ind w:firstLine="56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该论文针对全媒体时代人人都是评论员、人人都有麦克风的新情况，提出以传播主流价值为己任的党报评论要用好“金话筒”，以“四力”赋能，进军新媒体，占领舆论高地，发出主流强音，更好地发挥举旗定向、引导舆论、凝心聚力的作用。</w:t>
            </w:r>
          </w:p>
          <w:p>
            <w:pPr>
              <w:spacing w:before="21" w:line="0" w:lineRule="atLeast"/>
              <w:ind w:firstLine="56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章认为，纷繁的舆论场需要“黄钟大吕”，党报评论责无旁贷。喧哗的全媒体时代，党报评论员要增强“四力”，做好脚底板下的评论文章，练就洞察世事的“火眼金睛”，多学多想把握正确舆论导向，改文风练好评论写作基本功。受众在哪里，党报评论的触角就要伸向哪里。当前媒体融合不断走深走实，党报评论要借助新媒体传播优势，向全媒型、全天候评论转型，扩大主流声音的有效覆盖。</w:t>
            </w:r>
          </w:p>
          <w:p>
            <w:pPr>
              <w:widowControl w:val="0"/>
              <w:spacing w:line="260" w:lineRule="exact"/>
              <w:ind w:firstLine="397"/>
              <w:jc w:val="both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全传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媒播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体实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0" w:lineRule="atLeast"/>
              <w:ind w:firstLine="560" w:firstLineChars="200"/>
              <w:jc w:val="both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该论文在《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新闻战线》杂志发表，人民网全文转发，这一期杂志的目录第一时间在新闻战线微信公号推送，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刊、网、微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媒体矩阵全覆盖，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引起了受众广泛关注，点击量、转发量不断上升，形成了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较强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的传播力和影响力。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/>
              <w:textAlignment w:val="auto"/>
              <w:outlineLvl w:val="9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论文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刊发后，知网、万方、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爱学术、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百度学术、维普期刊、中国新闻培训网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/>
                <w:color w:val="auto"/>
                <w:sz w:val="28"/>
                <w:szCs w:val="28"/>
                <w:u w:val="none"/>
              </w:rPr>
              <w:t>、南平新闻网</w:t>
            </w:r>
            <w:r>
              <w:rPr>
                <w:rStyle w:val="5"/>
                <w:rFonts w:hint="eastAsia" w:ascii="仿宋" w:hAnsi="仿宋" w:eastAsia="仿宋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/>
                <w:sz w:val="28"/>
                <w:szCs w:val="28"/>
              </w:rPr>
              <w:t>等学术期刊和网络平台纷纷收录和转载，阅读量和引用量不断增加，社会反响热烈。特别是，论文获得辽宁新闻奖一等奖，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得到评委的高度认可，受到省市同行的一致好评，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所在单位领导号召大家学习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研讨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，很多同事通过电话或面对面与作者交流。大家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反映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，文章有理论有实践，对于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在全媒体舆论场中用好评论的“金话筒”、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更好地发挥评论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重要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作用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具有指导意义。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/>
              <w:textAlignment w:val="auto"/>
              <w:outlineLvl w:val="9"/>
              <w:rPr>
                <w:rFonts w:hint="eastAsia" w:ascii="仿宋" w:hAnsi="仿宋" w:eastAsia="仿宋"/>
                <w:color w:val="80808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论文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紧扣新闻舆论工作进入全媒体时代的新特点，对如何用好评论的“金话筒”作出了有针对性的理论思考，对如何践行“四力”创新做好新闻评论工作具有现实指导意义。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论文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观点正确、导向鲜明，论据充实、逻辑清晰，论证有力、语言生动。</w:t>
            </w:r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</w:t>
            </w:r>
            <w:r>
              <w:rPr>
                <w:rFonts w:ascii="华文中宋" w:hAnsi="华文中宋" w:eastAsia="华文中宋"/>
                <w:sz w:val="28"/>
              </w:rPr>
              <w:t xml:space="preserve">1年 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5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11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</w:tbl>
    <w:p>
      <w:pPr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中国新闻奖参评作品推荐表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76845"/>
    <w:rsid w:val="05B468B4"/>
    <w:rsid w:val="261E5B3C"/>
    <w:rsid w:val="341E77E9"/>
    <w:rsid w:val="3B376C33"/>
    <w:rsid w:val="419B3BCA"/>
    <w:rsid w:val="59332BAA"/>
    <w:rsid w:val="71D17019"/>
    <w:rsid w:val="7FC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uiPriority w:val="99"/>
    <w:pPr>
      <w:spacing w:after="120"/>
    </w:pPr>
    <w:rPr>
      <w:sz w:val="16"/>
      <w:szCs w:val="16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2021-05-11T00:41:00Z</dcterms:created>
  <dc:creator>user</dc:creator>
  <cp:lastModifiedBy>Administrator</cp:lastModifiedBy>
  <dcterms:modified xsi:type="dcterms:W3CDTF">2021-05-13T03:07:45Z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